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35A4" w14:textId="20D0CAE3" w:rsidR="00893C72" w:rsidRPr="00902BB7" w:rsidRDefault="00000000" w:rsidP="00902BB7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40E1">
            <w:t xml:space="preserve">Vägledning för användandet av ogräsmedel </w:t>
          </w:r>
        </w:sdtContent>
      </w:sdt>
    </w:p>
    <w:p w14:paraId="0AC7EE86" w14:textId="2DF9C414" w:rsidR="004B6B15" w:rsidRDefault="00FC2E36" w:rsidP="000F5F0C">
      <w:pPr>
        <w:spacing w:after="240"/>
        <w:rPr>
          <w:sz w:val="26"/>
          <w:szCs w:val="26"/>
        </w:rPr>
      </w:pPr>
      <w:r w:rsidRPr="00951FBD">
        <w:rPr>
          <w:sz w:val="26"/>
          <w:szCs w:val="26"/>
        </w:rPr>
        <w:t>Ogräsmedel (även kallat växtskyddsmedel</w:t>
      </w:r>
      <w:r w:rsidR="00147F8C" w:rsidRPr="00951FBD">
        <w:rPr>
          <w:sz w:val="26"/>
          <w:szCs w:val="26"/>
        </w:rPr>
        <w:t>)</w:t>
      </w:r>
      <w:r w:rsidR="00147F8C" w:rsidRPr="00696C80">
        <w:rPr>
          <w:sz w:val="26"/>
          <w:szCs w:val="26"/>
        </w:rPr>
        <w:t xml:space="preserve"> används inom Göteborgs Stad för att bekämpa oönskade grödor i både </w:t>
      </w:r>
      <w:r w:rsidR="007D11F3" w:rsidRPr="00696C80">
        <w:rPr>
          <w:sz w:val="26"/>
          <w:szCs w:val="26"/>
        </w:rPr>
        <w:t xml:space="preserve">bebyggda miljöer med hårdgjorda ytor och i parkområden. </w:t>
      </w:r>
    </w:p>
    <w:p w14:paraId="1FF3814A" w14:textId="0D3EF91D" w:rsidR="00A639D7" w:rsidRPr="00696C80" w:rsidRDefault="00A639D7" w:rsidP="000F5F0C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I första hand sker ogräsbekämpning mekaniskt/manuellt, men ibland krävs </w:t>
      </w:r>
      <w:r w:rsidR="00951FBD">
        <w:rPr>
          <w:sz w:val="26"/>
          <w:szCs w:val="26"/>
        </w:rPr>
        <w:t>ogräsmedel</w:t>
      </w:r>
      <w:r>
        <w:rPr>
          <w:sz w:val="26"/>
          <w:szCs w:val="26"/>
        </w:rPr>
        <w:t xml:space="preserve"> för att underlätta arbetet. </w:t>
      </w:r>
    </w:p>
    <w:p w14:paraId="65946C58" w14:textId="62CB149E" w:rsidR="00C8569A" w:rsidRDefault="00C8569A" w:rsidP="000F5F0C">
      <w:pPr>
        <w:spacing w:after="240"/>
        <w:rPr>
          <w:sz w:val="26"/>
          <w:szCs w:val="26"/>
        </w:rPr>
      </w:pPr>
      <w:r w:rsidRPr="00696C80">
        <w:rPr>
          <w:sz w:val="26"/>
          <w:szCs w:val="26"/>
        </w:rPr>
        <w:t>Användandet har inneboende giftiga egenskaper</w:t>
      </w:r>
      <w:r w:rsidR="00F41D47">
        <w:rPr>
          <w:sz w:val="26"/>
          <w:szCs w:val="26"/>
        </w:rPr>
        <w:t xml:space="preserve">. Eftersom </w:t>
      </w:r>
      <w:r w:rsidRPr="00696C80">
        <w:rPr>
          <w:sz w:val="26"/>
          <w:szCs w:val="26"/>
        </w:rPr>
        <w:t xml:space="preserve">man både vill </w:t>
      </w:r>
      <w:r w:rsidR="00926780" w:rsidRPr="00696C80">
        <w:rPr>
          <w:sz w:val="26"/>
          <w:szCs w:val="26"/>
        </w:rPr>
        <w:t>bekämpa grödor</w:t>
      </w:r>
      <w:r w:rsidR="00101ECA">
        <w:rPr>
          <w:sz w:val="26"/>
          <w:szCs w:val="26"/>
        </w:rPr>
        <w:t>,</w:t>
      </w:r>
      <w:r w:rsidR="00926780" w:rsidRPr="00696C80">
        <w:rPr>
          <w:sz w:val="26"/>
          <w:szCs w:val="26"/>
        </w:rPr>
        <w:t xml:space="preserve"> samtidigt som man i </w:t>
      </w:r>
      <w:r w:rsidR="004B6B15" w:rsidRPr="00696C80">
        <w:rPr>
          <w:sz w:val="26"/>
          <w:szCs w:val="26"/>
        </w:rPr>
        <w:t xml:space="preserve">vissa </w:t>
      </w:r>
      <w:r w:rsidR="00926780" w:rsidRPr="00696C80">
        <w:rPr>
          <w:sz w:val="26"/>
          <w:szCs w:val="26"/>
        </w:rPr>
        <w:t xml:space="preserve">fall vill låta </w:t>
      </w:r>
      <w:r w:rsidR="00101ECA">
        <w:rPr>
          <w:sz w:val="26"/>
          <w:szCs w:val="26"/>
        </w:rPr>
        <w:t xml:space="preserve">närliggande </w:t>
      </w:r>
      <w:r w:rsidR="00926780" w:rsidRPr="00696C80">
        <w:rPr>
          <w:sz w:val="26"/>
          <w:szCs w:val="26"/>
        </w:rPr>
        <w:t>växtlighet frodas</w:t>
      </w:r>
      <w:r w:rsidR="00101ECA">
        <w:rPr>
          <w:sz w:val="26"/>
          <w:szCs w:val="26"/>
        </w:rPr>
        <w:t>,</w:t>
      </w:r>
      <w:r w:rsidR="00926780" w:rsidRPr="00696C80">
        <w:rPr>
          <w:sz w:val="26"/>
          <w:szCs w:val="26"/>
        </w:rPr>
        <w:t xml:space="preserve"> är det av stor vikt att appliceringen av </w:t>
      </w:r>
      <w:r w:rsidR="00951FBD">
        <w:rPr>
          <w:sz w:val="26"/>
          <w:szCs w:val="26"/>
        </w:rPr>
        <w:t>ogräsmedel</w:t>
      </w:r>
      <w:r w:rsidR="000F5F0C" w:rsidRPr="00696C80">
        <w:rPr>
          <w:sz w:val="26"/>
          <w:szCs w:val="26"/>
        </w:rPr>
        <w:t xml:space="preserve"> sker på ett korrekt och säkert sätt. </w:t>
      </w:r>
      <w:r w:rsidR="004B6B15" w:rsidRPr="00696C80">
        <w:rPr>
          <w:sz w:val="26"/>
          <w:szCs w:val="26"/>
        </w:rPr>
        <w:t xml:space="preserve">Även vattenlevande </w:t>
      </w:r>
      <w:r w:rsidR="006C2752" w:rsidRPr="00696C80">
        <w:rPr>
          <w:sz w:val="26"/>
          <w:szCs w:val="26"/>
        </w:rPr>
        <w:t>växter, tex. alger, påverkas</w:t>
      </w:r>
      <w:r w:rsidR="00A70859">
        <w:rPr>
          <w:sz w:val="26"/>
          <w:szCs w:val="26"/>
        </w:rPr>
        <w:t xml:space="preserve"> ofta</w:t>
      </w:r>
      <w:r w:rsidR="006C2752" w:rsidRPr="00696C80">
        <w:rPr>
          <w:sz w:val="26"/>
          <w:szCs w:val="26"/>
        </w:rPr>
        <w:t xml:space="preserve"> negativt av </w:t>
      </w:r>
      <w:r w:rsidR="00DE6B2A" w:rsidRPr="00951FBD">
        <w:rPr>
          <w:sz w:val="26"/>
          <w:szCs w:val="26"/>
        </w:rPr>
        <w:t>ogräsmedel.</w:t>
      </w:r>
      <w:r w:rsidR="00DE6B2A" w:rsidRPr="00696C80">
        <w:rPr>
          <w:sz w:val="26"/>
          <w:szCs w:val="26"/>
        </w:rPr>
        <w:t xml:space="preserve"> </w:t>
      </w:r>
    </w:p>
    <w:p w14:paraId="67F878A3" w14:textId="77777777" w:rsidR="0032068F" w:rsidRDefault="0032068F" w:rsidP="004C031D">
      <w:pPr>
        <w:pStyle w:val="Rubrik3"/>
      </w:pPr>
      <w:r>
        <w:t>Säkerhetsavstånd</w:t>
      </w:r>
    </w:p>
    <w:p w14:paraId="4238FA67" w14:textId="7234B4AB" w:rsidR="0032068F" w:rsidRDefault="0032068F" w:rsidP="0032068F">
      <w:pPr>
        <w:rPr>
          <w:sz w:val="26"/>
          <w:szCs w:val="26"/>
        </w:rPr>
      </w:pPr>
      <w:r>
        <w:rPr>
          <w:sz w:val="26"/>
          <w:szCs w:val="26"/>
        </w:rPr>
        <w:t xml:space="preserve">Följande skyddsavstånd gäller </w:t>
      </w:r>
      <w:r w:rsidRPr="00A6743D">
        <w:rPr>
          <w:b/>
          <w:bCs/>
          <w:sz w:val="26"/>
          <w:szCs w:val="26"/>
        </w:rPr>
        <w:t>alla</w:t>
      </w:r>
      <w:r>
        <w:rPr>
          <w:sz w:val="26"/>
          <w:szCs w:val="26"/>
        </w:rPr>
        <w:t xml:space="preserve"> växtskyddsmedel.</w:t>
      </w:r>
      <w:r w:rsidR="00E15E5A">
        <w:rPr>
          <w:sz w:val="26"/>
          <w:szCs w:val="26"/>
        </w:rPr>
        <w:t xml:space="preserve"> </w:t>
      </w:r>
    </w:p>
    <w:p w14:paraId="2B018F4B" w14:textId="77777777" w:rsidR="00E15E5A" w:rsidRDefault="0032068F" w:rsidP="00E15E5A">
      <w:pPr>
        <w:keepNext/>
      </w:pPr>
      <w:r>
        <w:rPr>
          <w:noProof/>
        </w:rPr>
        <w:drawing>
          <wp:inline distT="0" distB="0" distL="0" distR="0" wp14:anchorId="3CFFFEF5" wp14:editId="43E4E0E2">
            <wp:extent cx="5039360" cy="1734185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1E8E" w14:textId="04CA69BA" w:rsidR="0032068F" w:rsidRDefault="00E15E5A" w:rsidP="00E15E5A">
      <w:pPr>
        <w:pStyle w:val="Beskrivning"/>
        <w:rPr>
          <w:sz w:val="26"/>
          <w:szCs w:val="26"/>
        </w:rPr>
      </w:pPr>
      <w:r>
        <w:t xml:space="preserve">Figur </w:t>
      </w:r>
      <w:fldSimple w:instr=" SEQ Figur \* ARABIC ">
        <w:r>
          <w:rPr>
            <w:noProof/>
          </w:rPr>
          <w:t>1</w:t>
        </w:r>
      </w:fldSimple>
      <w:r>
        <w:t>. Gällande fasta skyddsavstånd enligt NFS 2015:2.</w:t>
      </w:r>
    </w:p>
    <w:p w14:paraId="047278B3" w14:textId="6F648515" w:rsidR="00E15E5A" w:rsidRDefault="00E15E5A" w:rsidP="0032068F">
      <w:pPr>
        <w:rPr>
          <w:sz w:val="26"/>
          <w:szCs w:val="26"/>
        </w:rPr>
      </w:pPr>
      <w:r>
        <w:rPr>
          <w:sz w:val="26"/>
          <w:szCs w:val="26"/>
        </w:rPr>
        <w:t xml:space="preserve">Skyddsavstånden gäller även ämnen som är undantagna förbudet att användas inom </w:t>
      </w:r>
      <w:r w:rsidRPr="00E15E5A">
        <w:rPr>
          <w:sz w:val="26"/>
          <w:szCs w:val="26"/>
        </w:rPr>
        <w:t>skolgårdar eller gårdar till förskolor eller på lekplatser som allmänheten har tillträde till</w:t>
      </w:r>
      <w:r>
        <w:rPr>
          <w:sz w:val="26"/>
          <w:szCs w:val="26"/>
        </w:rPr>
        <w:t xml:space="preserve"> (tex. ämnena </w:t>
      </w:r>
      <w:r w:rsidR="00F3442F">
        <w:rPr>
          <w:sz w:val="26"/>
          <w:szCs w:val="26"/>
        </w:rPr>
        <w:t>ogräsättika</w:t>
      </w:r>
      <w:r>
        <w:rPr>
          <w:sz w:val="26"/>
          <w:szCs w:val="26"/>
        </w:rPr>
        <w:t xml:space="preserve"> och pelargonsyra).</w:t>
      </w:r>
    </w:p>
    <w:p w14:paraId="704A3E48" w14:textId="5F8E148D" w:rsidR="00E15E5A" w:rsidRDefault="00E15E5A" w:rsidP="0032068F">
      <w:pPr>
        <w:rPr>
          <w:sz w:val="26"/>
          <w:szCs w:val="26"/>
        </w:rPr>
      </w:pPr>
      <w:r>
        <w:rPr>
          <w:sz w:val="26"/>
          <w:szCs w:val="26"/>
        </w:rPr>
        <w:t>De ämnen som är undantagna förbudet anges i KIFS 2022:3.</w:t>
      </w:r>
    </w:p>
    <w:p w14:paraId="49298227" w14:textId="311EBAB6" w:rsidR="00E15E5A" w:rsidRPr="009F1E8D" w:rsidRDefault="00E15E5A" w:rsidP="0032068F">
      <w:pPr>
        <w:rPr>
          <w:i/>
          <w:iCs/>
          <w:sz w:val="26"/>
          <w:szCs w:val="26"/>
        </w:rPr>
      </w:pPr>
      <w:r w:rsidRPr="009F1E8D">
        <w:rPr>
          <w:i/>
          <w:iCs/>
          <w:sz w:val="26"/>
          <w:szCs w:val="26"/>
        </w:rPr>
        <w:t>Exempel: OgräxNIX får användas på skolgård, men får trots det inte sprutas närmre än 2 meter från en dagvattenbrunn.</w:t>
      </w:r>
    </w:p>
    <w:p w14:paraId="1D28CD45" w14:textId="0F799010" w:rsidR="0032068F" w:rsidRDefault="00B52281" w:rsidP="004C031D">
      <w:pPr>
        <w:pStyle w:val="Rubrik3"/>
      </w:pPr>
      <w:r>
        <w:lastRenderedPageBreak/>
        <w:t>S</w:t>
      </w:r>
      <w:r w:rsidR="00B22D3C">
        <w:t>pecifika ogräs</w:t>
      </w:r>
      <w:r w:rsidR="00DE11CE">
        <w:t>mede</w:t>
      </w:r>
      <w:r w:rsidR="00450ECB">
        <w:t>l</w:t>
      </w:r>
    </w:p>
    <w:p w14:paraId="4C57B04D" w14:textId="2C74996B" w:rsidR="00FF13B9" w:rsidRPr="00085CBC" w:rsidRDefault="00450ECB" w:rsidP="00450ECB">
      <w:pPr>
        <w:pStyle w:val="Rubrik4"/>
        <w:rPr>
          <w:sz w:val="24"/>
        </w:rPr>
      </w:pPr>
      <w:r w:rsidRPr="00085CBC">
        <w:rPr>
          <w:sz w:val="24"/>
        </w:rPr>
        <w:t>OgräsNIX</w:t>
      </w:r>
      <w:r w:rsidR="00BD6610" w:rsidRPr="00085CBC">
        <w:rPr>
          <w:sz w:val="24"/>
        </w:rPr>
        <w:t xml:space="preserve"> </w:t>
      </w:r>
      <w:r w:rsidR="00E343BD" w:rsidRPr="00085CBC">
        <w:rPr>
          <w:sz w:val="24"/>
        </w:rPr>
        <w:t>(ogräsättika)</w:t>
      </w:r>
      <w:r w:rsidR="006A4641" w:rsidRPr="00085CBC">
        <w:rPr>
          <w:sz w:val="24"/>
        </w:rPr>
        <w:t xml:space="preserve"> – klass 3</w:t>
      </w:r>
    </w:p>
    <w:p w14:paraId="37C46F1C" w14:textId="57690DA6" w:rsidR="004725B8" w:rsidRDefault="004725B8" w:rsidP="004725B8">
      <w:pPr>
        <w:pStyle w:val="Liststycke"/>
        <w:numPr>
          <w:ilvl w:val="0"/>
          <w:numId w:val="4"/>
        </w:numPr>
        <w:rPr>
          <w:sz w:val="24"/>
        </w:rPr>
      </w:pPr>
      <w:r w:rsidRPr="00085CBC">
        <w:rPr>
          <w:sz w:val="24"/>
        </w:rPr>
        <w:t xml:space="preserve">Får användas utan </w:t>
      </w:r>
      <w:r w:rsidR="00773CF6" w:rsidRPr="00085CBC">
        <w:rPr>
          <w:sz w:val="24"/>
        </w:rPr>
        <w:t>användartillstånd</w:t>
      </w:r>
    </w:p>
    <w:p w14:paraId="7B5E61EE" w14:textId="01062521" w:rsidR="00A43A76" w:rsidRPr="008E5F32" w:rsidRDefault="009260AF" w:rsidP="00A43A76">
      <w:pPr>
        <w:pStyle w:val="Liststycke"/>
        <w:numPr>
          <w:ilvl w:val="0"/>
          <w:numId w:val="4"/>
        </w:numPr>
        <w:rPr>
          <w:sz w:val="24"/>
        </w:rPr>
      </w:pPr>
      <w:r w:rsidRPr="008E5F32">
        <w:rPr>
          <w:sz w:val="24"/>
        </w:rPr>
        <w:t>Behandlingsintervall</w:t>
      </w:r>
      <w:r w:rsidR="00A43A76" w:rsidRPr="008E5F32">
        <w:rPr>
          <w:sz w:val="24"/>
        </w:rPr>
        <w:t xml:space="preserve"> OgräsNIX effekt</w:t>
      </w:r>
      <w:r w:rsidRPr="008E5F32">
        <w:rPr>
          <w:sz w:val="24"/>
        </w:rPr>
        <w:t>: 28 dagar</w:t>
      </w:r>
      <w:r w:rsidR="00A43A76" w:rsidRPr="008E5F32">
        <w:rPr>
          <w:sz w:val="24"/>
        </w:rPr>
        <w:t>, m</w:t>
      </w:r>
      <w:r w:rsidR="005D01A7" w:rsidRPr="008E5F32">
        <w:rPr>
          <w:sz w:val="24"/>
        </w:rPr>
        <w:t>ax 3 gånger</w:t>
      </w:r>
      <w:r w:rsidR="00A43A76" w:rsidRPr="008E5F32">
        <w:rPr>
          <w:sz w:val="24"/>
        </w:rPr>
        <w:t>/</w:t>
      </w:r>
      <w:r w:rsidR="005D01A7" w:rsidRPr="008E5F32">
        <w:rPr>
          <w:sz w:val="24"/>
        </w:rPr>
        <w:t>år</w:t>
      </w:r>
      <w:r w:rsidR="00A43A76" w:rsidRPr="008E5F32">
        <w:rPr>
          <w:sz w:val="24"/>
        </w:rPr>
        <w:t>.</w:t>
      </w:r>
    </w:p>
    <w:p w14:paraId="6CDD679C" w14:textId="63CB0E98" w:rsidR="00A43A76" w:rsidRPr="008E5F32" w:rsidRDefault="00A43A76" w:rsidP="00A43A76">
      <w:pPr>
        <w:pStyle w:val="Liststycke"/>
        <w:numPr>
          <w:ilvl w:val="0"/>
          <w:numId w:val="4"/>
        </w:numPr>
        <w:rPr>
          <w:sz w:val="24"/>
        </w:rPr>
      </w:pPr>
      <w:r w:rsidRPr="008E5F32">
        <w:rPr>
          <w:sz w:val="24"/>
        </w:rPr>
        <w:t>Behandlingsintervall OgräsNIX trippel effekt: 7 dagar, max 6 gånger/år.</w:t>
      </w:r>
    </w:p>
    <w:p w14:paraId="04BB7E79" w14:textId="4CEC4449" w:rsidR="00D27A88" w:rsidRPr="00085CBC" w:rsidRDefault="005934FD" w:rsidP="001115D0">
      <w:pPr>
        <w:pStyle w:val="Rubrik4"/>
        <w:rPr>
          <w:sz w:val="24"/>
        </w:rPr>
      </w:pPr>
      <w:proofErr w:type="spellStart"/>
      <w:r w:rsidRPr="00085CBC">
        <w:rPr>
          <w:sz w:val="24"/>
        </w:rPr>
        <w:t>Finalsan</w:t>
      </w:r>
      <w:proofErr w:type="spellEnd"/>
      <w:r w:rsidRPr="00085CBC">
        <w:rPr>
          <w:sz w:val="24"/>
        </w:rPr>
        <w:t xml:space="preserve"> Ogräs Effekt (</w:t>
      </w:r>
      <w:r w:rsidR="00E343BD" w:rsidRPr="00085CBC">
        <w:rPr>
          <w:sz w:val="24"/>
        </w:rPr>
        <w:t>pelargonsyra</w:t>
      </w:r>
      <w:r w:rsidRPr="00085CBC">
        <w:rPr>
          <w:sz w:val="24"/>
        </w:rPr>
        <w:t>)</w:t>
      </w:r>
      <w:r w:rsidR="00E343BD" w:rsidRPr="00085CBC">
        <w:rPr>
          <w:sz w:val="24"/>
        </w:rPr>
        <w:t xml:space="preserve"> – klass </w:t>
      </w:r>
      <w:r w:rsidR="00382C1C" w:rsidRPr="00085CBC">
        <w:rPr>
          <w:sz w:val="24"/>
        </w:rPr>
        <w:t>3</w:t>
      </w:r>
    </w:p>
    <w:p w14:paraId="377049F4" w14:textId="77777777" w:rsidR="00382C1C" w:rsidRPr="00085CBC" w:rsidRDefault="00382C1C" w:rsidP="00382C1C">
      <w:pPr>
        <w:pStyle w:val="Liststycke"/>
        <w:numPr>
          <w:ilvl w:val="0"/>
          <w:numId w:val="4"/>
        </w:numPr>
        <w:rPr>
          <w:sz w:val="24"/>
        </w:rPr>
      </w:pPr>
      <w:r w:rsidRPr="00085CBC">
        <w:rPr>
          <w:sz w:val="24"/>
        </w:rPr>
        <w:t>Får användas utan användartillstånd</w:t>
      </w:r>
    </w:p>
    <w:p w14:paraId="23B846F3" w14:textId="3CA4E0CA" w:rsidR="0060331A" w:rsidRPr="00085CBC" w:rsidRDefault="000232E6" w:rsidP="00D27A88">
      <w:pPr>
        <w:pStyle w:val="Liststycke"/>
        <w:numPr>
          <w:ilvl w:val="0"/>
          <w:numId w:val="4"/>
        </w:numPr>
        <w:rPr>
          <w:sz w:val="24"/>
        </w:rPr>
      </w:pPr>
      <w:r w:rsidRPr="00085CBC">
        <w:rPr>
          <w:sz w:val="24"/>
        </w:rPr>
        <w:t xml:space="preserve">Behandlingsintervall: </w:t>
      </w:r>
      <w:r w:rsidR="009E1CCA" w:rsidRPr="00085CBC">
        <w:rPr>
          <w:sz w:val="24"/>
        </w:rPr>
        <w:t>21 dagar. Max 8 gånger per år (ogräs) och 4 gånger per år (mossa och alger).</w:t>
      </w:r>
    </w:p>
    <w:p w14:paraId="3E111EEF" w14:textId="237C2564" w:rsidR="0036194C" w:rsidRPr="00085CBC" w:rsidRDefault="00D27A88" w:rsidP="001115D0">
      <w:pPr>
        <w:pStyle w:val="Rubrik4"/>
        <w:rPr>
          <w:sz w:val="24"/>
        </w:rPr>
      </w:pPr>
      <w:r w:rsidRPr="00085CBC">
        <w:rPr>
          <w:sz w:val="24"/>
        </w:rPr>
        <w:t xml:space="preserve">Roundup </w:t>
      </w:r>
      <w:proofErr w:type="spellStart"/>
      <w:r w:rsidRPr="00085CBC">
        <w:rPr>
          <w:sz w:val="24"/>
        </w:rPr>
        <w:t>Flex</w:t>
      </w:r>
      <w:proofErr w:type="spellEnd"/>
      <w:r w:rsidRPr="00085CBC">
        <w:rPr>
          <w:sz w:val="24"/>
        </w:rPr>
        <w:t xml:space="preserve"> 5065 </w:t>
      </w:r>
      <w:r w:rsidR="0036194C" w:rsidRPr="00085CBC">
        <w:rPr>
          <w:sz w:val="24"/>
        </w:rPr>
        <w:t>(</w:t>
      </w:r>
      <w:proofErr w:type="spellStart"/>
      <w:r w:rsidR="0036194C" w:rsidRPr="00085CBC">
        <w:rPr>
          <w:sz w:val="24"/>
        </w:rPr>
        <w:t>Glyfosat</w:t>
      </w:r>
      <w:proofErr w:type="spellEnd"/>
      <w:r w:rsidR="0036194C" w:rsidRPr="00085CBC">
        <w:rPr>
          <w:sz w:val="24"/>
        </w:rPr>
        <w:t xml:space="preserve">) </w:t>
      </w:r>
      <w:r w:rsidRPr="00085CBC">
        <w:rPr>
          <w:sz w:val="24"/>
        </w:rPr>
        <w:t>– klass 2L</w:t>
      </w:r>
    </w:p>
    <w:p w14:paraId="0776805C" w14:textId="77777777" w:rsidR="00D27A88" w:rsidRDefault="00D27A88" w:rsidP="00D27A88">
      <w:pPr>
        <w:pStyle w:val="Liststycke"/>
        <w:numPr>
          <w:ilvl w:val="0"/>
          <w:numId w:val="4"/>
        </w:numPr>
        <w:rPr>
          <w:sz w:val="24"/>
        </w:rPr>
      </w:pPr>
      <w:r w:rsidRPr="00085CBC">
        <w:rPr>
          <w:sz w:val="24"/>
        </w:rPr>
        <w:t>Behövs användartillstånd</w:t>
      </w:r>
    </w:p>
    <w:p w14:paraId="34846EDC" w14:textId="3A9CD2F3" w:rsidR="004E3490" w:rsidRPr="00085CBC" w:rsidRDefault="004E3490" w:rsidP="00D27A88">
      <w:pPr>
        <w:pStyle w:val="Liststycke"/>
        <w:numPr>
          <w:ilvl w:val="0"/>
          <w:numId w:val="4"/>
        </w:numPr>
        <w:rPr>
          <w:sz w:val="24"/>
        </w:rPr>
      </w:pPr>
      <w:r w:rsidRPr="00085CBC">
        <w:rPr>
          <w:sz w:val="24"/>
        </w:rPr>
        <w:t>Behandlingsintervall</w:t>
      </w:r>
      <w:r w:rsidR="0006121F" w:rsidRPr="00085CBC">
        <w:rPr>
          <w:sz w:val="24"/>
        </w:rPr>
        <w:t xml:space="preserve">: </w:t>
      </w:r>
      <w:r w:rsidR="00890D98" w:rsidRPr="00085CBC">
        <w:rPr>
          <w:sz w:val="24"/>
        </w:rPr>
        <w:t>1–3</w:t>
      </w:r>
      <w:r w:rsidR="0006121F" w:rsidRPr="00085CBC">
        <w:rPr>
          <w:sz w:val="24"/>
        </w:rPr>
        <w:t xml:space="preserve"> gånger per år beroende på vad som behandlas (</w:t>
      </w:r>
      <w:r w:rsidR="00890D98" w:rsidRPr="00085CBC">
        <w:rPr>
          <w:sz w:val="24"/>
        </w:rPr>
        <w:t>se ”villkor för användning” från Kemikalieinspektionen)</w:t>
      </w:r>
    </w:p>
    <w:p w14:paraId="4BE62B3B" w14:textId="0D4A39C1" w:rsidR="0065274E" w:rsidRPr="008E5F32" w:rsidRDefault="00085CBC" w:rsidP="0065274E">
      <w:pPr>
        <w:pStyle w:val="Rubrik3"/>
        <w:rPr>
          <w:color w:val="auto"/>
        </w:rPr>
      </w:pPr>
      <w:r w:rsidRPr="008E5F32">
        <w:rPr>
          <w:noProof/>
          <w:color w:val="auto"/>
          <w:szCs w:val="26"/>
        </w:rPr>
        <w:drawing>
          <wp:anchor distT="0" distB="0" distL="114300" distR="114300" simplePos="0" relativeHeight="251658240" behindDoc="1" locked="0" layoutInCell="1" allowOverlap="1" wp14:anchorId="75FBFB8A" wp14:editId="050F6BF8">
            <wp:simplePos x="0" y="0"/>
            <wp:positionH relativeFrom="column">
              <wp:posOffset>3271520</wp:posOffset>
            </wp:positionH>
            <wp:positionV relativeFrom="paragraph">
              <wp:posOffset>299720</wp:posOffset>
            </wp:positionV>
            <wp:extent cx="2677795" cy="3664585"/>
            <wp:effectExtent l="19050" t="19050" r="27305" b="12065"/>
            <wp:wrapTight wrapText="bothSides">
              <wp:wrapPolygon edited="0">
                <wp:start x="-154" y="-112"/>
                <wp:lineTo x="-154" y="21559"/>
                <wp:lineTo x="21667" y="21559"/>
                <wp:lineTo x="21667" y="-112"/>
                <wp:lineTo x="-154" y="-11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3664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4E" w:rsidRPr="008E5F32">
        <w:rPr>
          <w:color w:val="auto"/>
        </w:rPr>
        <w:t>Sprutjournaler</w:t>
      </w:r>
    </w:p>
    <w:p w14:paraId="68CBA39E" w14:textId="61FBA087" w:rsidR="00FC0852" w:rsidRPr="008E5F32" w:rsidRDefault="00FC0852" w:rsidP="00FC0852">
      <w:r w:rsidRPr="008E5F32">
        <w:rPr>
          <w:sz w:val="26"/>
          <w:szCs w:val="26"/>
        </w:rPr>
        <w:t xml:space="preserve">Sprutjournaler ska föras för </w:t>
      </w:r>
      <w:r w:rsidRPr="008E5F32">
        <w:rPr>
          <w:b/>
          <w:bCs/>
          <w:sz w:val="26"/>
          <w:szCs w:val="26"/>
        </w:rPr>
        <w:t>alla</w:t>
      </w:r>
      <w:r w:rsidRPr="008E5F32">
        <w:rPr>
          <w:sz w:val="26"/>
          <w:szCs w:val="26"/>
        </w:rPr>
        <w:t xml:space="preserve"> ogräsmedel som används yrkesmässigt. Dessa ska sparas i 3 år</w:t>
      </w:r>
      <w:r w:rsidRPr="008E5F32">
        <w:t>.</w:t>
      </w:r>
    </w:p>
    <w:p w14:paraId="75C4F9F5" w14:textId="4C4026C5" w:rsidR="00D27A88" w:rsidRDefault="00D27A88" w:rsidP="001115D0">
      <w:pPr>
        <w:pStyle w:val="Rubrik3"/>
      </w:pPr>
      <w:r>
        <w:t>Vattenskyddsområde</w:t>
      </w:r>
    </w:p>
    <w:p w14:paraId="0F308660" w14:textId="27B283B1" w:rsidR="003F4986" w:rsidRDefault="003F4986" w:rsidP="00D27A88">
      <w:pPr>
        <w:rPr>
          <w:sz w:val="26"/>
          <w:szCs w:val="26"/>
        </w:rPr>
      </w:pPr>
      <w:r w:rsidRPr="003F4986">
        <w:rPr>
          <w:sz w:val="26"/>
          <w:szCs w:val="26"/>
        </w:rPr>
        <w:t xml:space="preserve">Om du ska använda ett växtskyddsmedel inom ett vattenskyddsområde krävs det ett särskilt tillstånd från </w:t>
      </w:r>
      <w:r w:rsidR="00101ECA">
        <w:rPr>
          <w:sz w:val="26"/>
          <w:szCs w:val="26"/>
        </w:rPr>
        <w:t>kommunen</w:t>
      </w:r>
      <w:r w:rsidRPr="003F4986">
        <w:rPr>
          <w:sz w:val="26"/>
          <w:szCs w:val="26"/>
        </w:rPr>
        <w:t xml:space="preserve">. Regler för det finns i Naturvårdsverkets föreskrifter. </w:t>
      </w:r>
    </w:p>
    <w:p w14:paraId="5871EB39" w14:textId="6142CD89" w:rsidR="00DE6B2A" w:rsidRDefault="00DE6B2A" w:rsidP="004C031D">
      <w:pPr>
        <w:pStyle w:val="Rubrik3"/>
      </w:pPr>
      <w:r>
        <w:t>Punktbehandling</w:t>
      </w:r>
    </w:p>
    <w:p w14:paraId="5B2D2FBB" w14:textId="485FE48A" w:rsidR="00DE6B2A" w:rsidRPr="00D64357" w:rsidRDefault="00DE6B2A" w:rsidP="00DE6B2A">
      <w:pPr>
        <w:rPr>
          <w:sz w:val="26"/>
          <w:szCs w:val="26"/>
        </w:rPr>
      </w:pPr>
      <w:r w:rsidRPr="00696C80">
        <w:rPr>
          <w:sz w:val="26"/>
          <w:szCs w:val="26"/>
        </w:rPr>
        <w:t xml:space="preserve">Punktbehandling </w:t>
      </w:r>
      <w:r w:rsidR="003F4986">
        <w:rPr>
          <w:sz w:val="26"/>
          <w:szCs w:val="26"/>
        </w:rPr>
        <w:t xml:space="preserve">är en metod som kan </w:t>
      </w:r>
      <w:r w:rsidRPr="00696C80">
        <w:rPr>
          <w:sz w:val="26"/>
          <w:szCs w:val="26"/>
        </w:rPr>
        <w:t xml:space="preserve">används för att </w:t>
      </w:r>
      <w:r w:rsidR="004C3A92">
        <w:rPr>
          <w:sz w:val="26"/>
          <w:szCs w:val="26"/>
        </w:rPr>
        <w:t xml:space="preserve">minska </w:t>
      </w:r>
      <w:r w:rsidR="00696C80" w:rsidRPr="00696C80">
        <w:rPr>
          <w:sz w:val="26"/>
          <w:szCs w:val="26"/>
        </w:rPr>
        <w:t>spridning</w:t>
      </w:r>
      <w:r w:rsidR="00BA1449">
        <w:rPr>
          <w:sz w:val="26"/>
          <w:szCs w:val="26"/>
        </w:rPr>
        <w:t>en</w:t>
      </w:r>
      <w:r w:rsidR="00696C80" w:rsidRPr="00696C80">
        <w:rPr>
          <w:sz w:val="26"/>
          <w:szCs w:val="26"/>
        </w:rPr>
        <w:t xml:space="preserve"> av ogräsmed</w:t>
      </w:r>
      <w:r w:rsidR="00BA1449">
        <w:rPr>
          <w:sz w:val="26"/>
          <w:szCs w:val="26"/>
        </w:rPr>
        <w:t>let</w:t>
      </w:r>
      <w:r w:rsidR="00696C80" w:rsidRPr="00696C80">
        <w:rPr>
          <w:sz w:val="26"/>
          <w:szCs w:val="26"/>
        </w:rPr>
        <w:t xml:space="preserve"> till oönskade växter och områden</w:t>
      </w:r>
      <w:r w:rsidR="00101ECA">
        <w:rPr>
          <w:sz w:val="26"/>
          <w:szCs w:val="26"/>
        </w:rPr>
        <w:t>, tex när behandling sker inom ett vattenskyddsområde</w:t>
      </w:r>
      <w:r w:rsidR="00696C80" w:rsidRPr="00696C80">
        <w:rPr>
          <w:sz w:val="26"/>
          <w:szCs w:val="26"/>
        </w:rPr>
        <w:t xml:space="preserve">. </w:t>
      </w:r>
      <w:r w:rsidR="00D64357">
        <w:rPr>
          <w:sz w:val="26"/>
          <w:szCs w:val="26"/>
        </w:rPr>
        <w:t xml:space="preserve">Punktbehandling får även användas inom de fasta skyddsavstånden som anges i </w:t>
      </w:r>
      <w:r w:rsidR="00D64357" w:rsidRPr="00D64357">
        <w:rPr>
          <w:i/>
          <w:iCs/>
          <w:sz w:val="26"/>
          <w:szCs w:val="26"/>
        </w:rPr>
        <w:t>figur 1</w:t>
      </w:r>
      <w:r w:rsidR="00D64357">
        <w:rPr>
          <w:sz w:val="26"/>
          <w:szCs w:val="26"/>
        </w:rPr>
        <w:t>.</w:t>
      </w:r>
    </w:p>
    <w:p w14:paraId="0BD12A8B" w14:textId="77777777" w:rsidR="00696C80" w:rsidRDefault="00696C80" w:rsidP="00DE6B2A">
      <w:pPr>
        <w:rPr>
          <w:sz w:val="26"/>
          <w:szCs w:val="26"/>
        </w:rPr>
      </w:pPr>
      <w:r w:rsidRPr="00696C80">
        <w:rPr>
          <w:sz w:val="26"/>
          <w:szCs w:val="26"/>
        </w:rPr>
        <w:t>I naturvårdsverkets föreskrifter definieras punktbehandling på följande sätt:</w:t>
      </w:r>
    </w:p>
    <w:p w14:paraId="37AB689C" w14:textId="77777777" w:rsidR="004D46B6" w:rsidRDefault="00816C8F" w:rsidP="00DE6B2A">
      <w:pPr>
        <w:rPr>
          <w:sz w:val="26"/>
          <w:szCs w:val="26"/>
        </w:rPr>
      </w:pPr>
      <w:r>
        <w:rPr>
          <w:i/>
          <w:iCs/>
          <w:sz w:val="26"/>
          <w:szCs w:val="26"/>
        </w:rPr>
        <w:t>P</w:t>
      </w:r>
      <w:r w:rsidRPr="00816C8F">
        <w:rPr>
          <w:i/>
          <w:iCs/>
          <w:sz w:val="26"/>
          <w:szCs w:val="26"/>
        </w:rPr>
        <w:t>unktbehandling är behandling av växter med en metod som medför att växtskyddsmedlet inte sprids utanför det avsedda objektet.</w:t>
      </w:r>
    </w:p>
    <w:p w14:paraId="4E36BC07" w14:textId="0E5753F2" w:rsidR="00921843" w:rsidRDefault="009F1E8D" w:rsidP="00F002C5">
      <w:pPr>
        <w:rPr>
          <w:sz w:val="26"/>
          <w:szCs w:val="26"/>
        </w:rPr>
      </w:pPr>
      <w:r>
        <w:rPr>
          <w:sz w:val="26"/>
          <w:szCs w:val="26"/>
        </w:rPr>
        <w:lastRenderedPageBreak/>
        <w:t>Stadsmiljöf</w:t>
      </w:r>
      <w:r w:rsidR="00FC2780">
        <w:rPr>
          <w:sz w:val="26"/>
          <w:szCs w:val="26"/>
        </w:rPr>
        <w:t>örvaltningen</w:t>
      </w:r>
      <w:r w:rsidR="006774FE">
        <w:rPr>
          <w:sz w:val="26"/>
          <w:szCs w:val="26"/>
        </w:rPr>
        <w:t xml:space="preserve">s tolkning </w:t>
      </w:r>
      <w:r w:rsidR="005C7D98">
        <w:rPr>
          <w:sz w:val="26"/>
          <w:szCs w:val="26"/>
        </w:rPr>
        <w:t>av Naturvårdsverkets definition är att</w:t>
      </w:r>
      <w:r w:rsidR="00FC2780">
        <w:rPr>
          <w:sz w:val="26"/>
          <w:szCs w:val="26"/>
        </w:rPr>
        <w:t xml:space="preserve"> </w:t>
      </w:r>
      <w:r w:rsidR="00B727AC">
        <w:rPr>
          <w:sz w:val="26"/>
          <w:szCs w:val="26"/>
        </w:rPr>
        <w:t>p</w:t>
      </w:r>
      <w:r w:rsidR="00EF595C">
        <w:rPr>
          <w:sz w:val="26"/>
          <w:szCs w:val="26"/>
        </w:rPr>
        <w:t>unktbehandling utgörs då appliceringen sker mot endast en växtdel (en gröda) i taget.</w:t>
      </w:r>
      <w:r w:rsidR="003F4986">
        <w:rPr>
          <w:sz w:val="26"/>
          <w:szCs w:val="26"/>
        </w:rPr>
        <w:t xml:space="preserve"> </w:t>
      </w:r>
    </w:p>
    <w:p w14:paraId="5DB3989F" w14:textId="656A12B0" w:rsidR="001115D0" w:rsidRDefault="001115D0" w:rsidP="00F002C5">
      <w:pPr>
        <w:rPr>
          <w:sz w:val="26"/>
          <w:szCs w:val="26"/>
        </w:rPr>
      </w:pPr>
      <w:r>
        <w:rPr>
          <w:sz w:val="26"/>
          <w:szCs w:val="26"/>
        </w:rPr>
        <w:t>Definitionen är teknikneutral, det vill säga olika metoder kan anses vara punktbehandling så länge definitionen ovan efterlevs.</w:t>
      </w:r>
    </w:p>
    <w:p w14:paraId="30EBF424" w14:textId="23AE9F89" w:rsidR="004C031D" w:rsidRDefault="004C031D" w:rsidP="004C031D">
      <w:pPr>
        <w:pStyle w:val="Rubrik3"/>
      </w:pPr>
      <w:r>
        <w:t>Stöd och råd kring ogräsmedel</w:t>
      </w:r>
    </w:p>
    <w:p w14:paraId="7D2B0C07" w14:textId="77F7AF12" w:rsidR="004C031D" w:rsidRPr="002D75B8" w:rsidRDefault="004C031D" w:rsidP="00F002C5">
      <w:pPr>
        <w:rPr>
          <w:strike/>
          <w:color w:val="FF0000"/>
          <w:sz w:val="26"/>
          <w:szCs w:val="26"/>
        </w:rPr>
      </w:pPr>
      <w:r>
        <w:rPr>
          <w:sz w:val="26"/>
          <w:szCs w:val="26"/>
        </w:rPr>
        <w:t>Kontakta miljöenheten</w:t>
      </w:r>
      <w:r w:rsidR="00101ECA">
        <w:rPr>
          <w:sz w:val="26"/>
          <w:szCs w:val="26"/>
        </w:rPr>
        <w:t xml:space="preserve"> inom Stadsmiljöförvaltningen</w:t>
      </w:r>
      <w:r w:rsidR="001115D0">
        <w:rPr>
          <w:sz w:val="26"/>
          <w:szCs w:val="26"/>
        </w:rPr>
        <w:t xml:space="preserve"> för ytterligare rådgivning gällande ogräsmede</w:t>
      </w:r>
      <w:r w:rsidR="00951FBD">
        <w:rPr>
          <w:sz w:val="26"/>
          <w:szCs w:val="26"/>
        </w:rPr>
        <w:t>l,</w:t>
      </w:r>
      <w:r w:rsidR="002D75B8" w:rsidRPr="00951FBD">
        <w:rPr>
          <w:sz w:val="26"/>
          <w:szCs w:val="26"/>
        </w:rPr>
        <w:t xml:space="preserve"> se TH kap 1C Kompetens </w:t>
      </w:r>
      <w:r w:rsidR="002D47D4" w:rsidRPr="00951FBD">
        <w:rPr>
          <w:sz w:val="26"/>
          <w:szCs w:val="26"/>
        </w:rPr>
        <w:t>”Miljö”</w:t>
      </w:r>
      <w:r w:rsidR="00951FBD" w:rsidRPr="00951FBD">
        <w:rPr>
          <w:sz w:val="26"/>
          <w:szCs w:val="26"/>
        </w:rPr>
        <w:t>.</w:t>
      </w:r>
    </w:p>
    <w:p w14:paraId="4736F6BB" w14:textId="77777777" w:rsidR="004C031D" w:rsidRPr="00F002C5" w:rsidRDefault="004C031D" w:rsidP="00F002C5">
      <w:pPr>
        <w:rPr>
          <w:sz w:val="26"/>
          <w:szCs w:val="26"/>
        </w:rPr>
      </w:pPr>
    </w:p>
    <w:sectPr w:rsidR="004C031D" w:rsidRPr="00F002C5" w:rsidSect="00BA132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F87F" w14:textId="77777777" w:rsidR="007E60FB" w:rsidRDefault="007E60FB" w:rsidP="00BF282B">
      <w:pPr>
        <w:spacing w:after="0" w:line="240" w:lineRule="auto"/>
      </w:pPr>
      <w:r>
        <w:separator/>
      </w:r>
    </w:p>
  </w:endnote>
  <w:endnote w:type="continuationSeparator" w:id="0">
    <w:p w14:paraId="179CCF15" w14:textId="77777777" w:rsidR="007E60FB" w:rsidRDefault="007E60F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0921E733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9943D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E40E1">
                <w:t xml:space="preserve">Vägledning för användandet av ogräsmedel 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37D6B225" w14:textId="7B3B8317" w:rsidR="00192DC2" w:rsidRDefault="009943D2" w:rsidP="005E40E1">
          <w:pPr>
            <w:pStyle w:val="Sidfot"/>
            <w:tabs>
              <w:tab w:val="clear" w:pos="9026"/>
              <w:tab w:val="left" w:pos="6057"/>
            </w:tabs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959A9">
                <w:t>Vägledning för användandet av ogräsmedel</w:t>
              </w:r>
              <w:r w:rsidR="005E40E1">
                <w:t xml:space="preserve"> </w:t>
              </w:r>
            </w:sdtContent>
          </w:sdt>
          <w:r w:rsidR="005E40E1">
            <w:t>2024-04-24</w:t>
          </w:r>
        </w:p>
      </w:tc>
      <w:tc>
        <w:tcPr>
          <w:tcW w:w="1134" w:type="dxa"/>
        </w:tcPr>
        <w:p w14:paraId="70425BD8" w14:textId="77777777" w:rsidR="00143D7C" w:rsidRPr="008117AD" w:rsidRDefault="009943D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524D1400" w14:textId="56D5D224" w:rsidR="00192DC2" w:rsidRDefault="009943D2" w:rsidP="003B1A32">
          <w:pPr>
            <w:pStyle w:val="Sidfot"/>
            <w:tabs>
              <w:tab w:val="clear" w:pos="9026"/>
              <w:tab w:val="left" w:pos="5870"/>
            </w:tabs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E40E1">
                <w:t xml:space="preserve">Vägledning för användandet av ogräsmedel </w:t>
              </w:r>
            </w:sdtContent>
          </w:sdt>
          <w:r w:rsidR="005E40E1">
            <w:t xml:space="preserve">  </w:t>
          </w:r>
          <w:r w:rsidR="003B1A32">
            <w:t>2024-04-24</w:t>
          </w:r>
        </w:p>
      </w:tc>
      <w:tc>
        <w:tcPr>
          <w:tcW w:w="1134" w:type="dxa"/>
        </w:tcPr>
        <w:p w14:paraId="3EDF5816" w14:textId="77777777" w:rsidR="00143D7C" w:rsidRPr="008117AD" w:rsidRDefault="009943D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DD51" w14:textId="77777777" w:rsidR="007E60FB" w:rsidRDefault="007E60FB" w:rsidP="00BF282B">
      <w:pPr>
        <w:spacing w:after="0" w:line="240" w:lineRule="auto"/>
      </w:pPr>
      <w:r>
        <w:separator/>
      </w:r>
    </w:p>
  </w:footnote>
  <w:footnote w:type="continuationSeparator" w:id="0">
    <w:p w14:paraId="421AF1ED" w14:textId="77777777" w:rsidR="007E60FB" w:rsidRDefault="007E60F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AFA3FE5" w14:textId="77777777" w:rsidR="00192DC2" w:rsidRDefault="009943D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143D7C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143D7C" w:rsidRDefault="00143D7C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143D7C" w:rsidRDefault="00143D7C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143D7C" w:rsidRDefault="00143D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AD0"/>
    <w:multiLevelType w:val="hybridMultilevel"/>
    <w:tmpl w:val="FEBAE1AC"/>
    <w:lvl w:ilvl="0" w:tplc="04EACA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B4F9E"/>
    <w:multiLevelType w:val="hybridMultilevel"/>
    <w:tmpl w:val="4B0C8082"/>
    <w:lvl w:ilvl="0" w:tplc="AD4830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17B4"/>
    <w:multiLevelType w:val="hybridMultilevel"/>
    <w:tmpl w:val="E99C88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002D"/>
    <w:multiLevelType w:val="hybridMultilevel"/>
    <w:tmpl w:val="A9EE85EE"/>
    <w:lvl w:ilvl="0" w:tplc="F49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11712">
    <w:abstractNumId w:val="3"/>
  </w:num>
  <w:num w:numId="2" w16cid:durableId="966159392">
    <w:abstractNumId w:val="2"/>
  </w:num>
  <w:num w:numId="3" w16cid:durableId="1026057035">
    <w:abstractNumId w:val="0"/>
  </w:num>
  <w:num w:numId="4" w16cid:durableId="192283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72D"/>
    <w:rsid w:val="000232E6"/>
    <w:rsid w:val="0006121F"/>
    <w:rsid w:val="00085CBC"/>
    <w:rsid w:val="000B6F6F"/>
    <w:rsid w:val="000C68BA"/>
    <w:rsid w:val="000C6B6F"/>
    <w:rsid w:val="000E58F1"/>
    <w:rsid w:val="000F2B85"/>
    <w:rsid w:val="000F5F0C"/>
    <w:rsid w:val="00101ECA"/>
    <w:rsid w:val="0011061F"/>
    <w:rsid w:val="001109CD"/>
    <w:rsid w:val="001115D0"/>
    <w:rsid w:val="0011381D"/>
    <w:rsid w:val="001331D0"/>
    <w:rsid w:val="001379E7"/>
    <w:rsid w:val="00142FA9"/>
    <w:rsid w:val="00142FEF"/>
    <w:rsid w:val="00143D7C"/>
    <w:rsid w:val="00147F8C"/>
    <w:rsid w:val="00173F0C"/>
    <w:rsid w:val="00192DC2"/>
    <w:rsid w:val="001C2218"/>
    <w:rsid w:val="001D0A11"/>
    <w:rsid w:val="001D645F"/>
    <w:rsid w:val="002013F3"/>
    <w:rsid w:val="002313C6"/>
    <w:rsid w:val="00241F59"/>
    <w:rsid w:val="00244443"/>
    <w:rsid w:val="00257F49"/>
    <w:rsid w:val="0027783F"/>
    <w:rsid w:val="00295C67"/>
    <w:rsid w:val="002D09F7"/>
    <w:rsid w:val="002D47D4"/>
    <w:rsid w:val="002D75B8"/>
    <w:rsid w:val="002E1DD6"/>
    <w:rsid w:val="003031B5"/>
    <w:rsid w:val="003164EC"/>
    <w:rsid w:val="0032068F"/>
    <w:rsid w:val="00332A7F"/>
    <w:rsid w:val="00350FEF"/>
    <w:rsid w:val="0036194C"/>
    <w:rsid w:val="00367F49"/>
    <w:rsid w:val="00372CB4"/>
    <w:rsid w:val="00382C1C"/>
    <w:rsid w:val="003A0824"/>
    <w:rsid w:val="003B1A32"/>
    <w:rsid w:val="003E5FD0"/>
    <w:rsid w:val="003F4986"/>
    <w:rsid w:val="00401B69"/>
    <w:rsid w:val="00405C56"/>
    <w:rsid w:val="00414E79"/>
    <w:rsid w:val="00440D30"/>
    <w:rsid w:val="00450ECB"/>
    <w:rsid w:val="004725B8"/>
    <w:rsid w:val="00473C11"/>
    <w:rsid w:val="004A5252"/>
    <w:rsid w:val="004B287C"/>
    <w:rsid w:val="004B6B15"/>
    <w:rsid w:val="004C031D"/>
    <w:rsid w:val="004C0571"/>
    <w:rsid w:val="004C3A92"/>
    <w:rsid w:val="004C78B0"/>
    <w:rsid w:val="004D46B6"/>
    <w:rsid w:val="004E3490"/>
    <w:rsid w:val="004F5FDF"/>
    <w:rsid w:val="00503A6B"/>
    <w:rsid w:val="00521790"/>
    <w:rsid w:val="00521FB9"/>
    <w:rsid w:val="005443C0"/>
    <w:rsid w:val="0054612F"/>
    <w:rsid w:val="005538E3"/>
    <w:rsid w:val="00556616"/>
    <w:rsid w:val="005631F6"/>
    <w:rsid w:val="005729A0"/>
    <w:rsid w:val="00573402"/>
    <w:rsid w:val="00577843"/>
    <w:rsid w:val="005831E2"/>
    <w:rsid w:val="005934FD"/>
    <w:rsid w:val="00597ACB"/>
    <w:rsid w:val="005A1479"/>
    <w:rsid w:val="005C7D98"/>
    <w:rsid w:val="005D01A7"/>
    <w:rsid w:val="005E40E1"/>
    <w:rsid w:val="005E6622"/>
    <w:rsid w:val="005F5390"/>
    <w:rsid w:val="0060331A"/>
    <w:rsid w:val="00607F19"/>
    <w:rsid w:val="00613965"/>
    <w:rsid w:val="00623D4E"/>
    <w:rsid w:val="00631C23"/>
    <w:rsid w:val="00652150"/>
    <w:rsid w:val="0065274E"/>
    <w:rsid w:val="0066216B"/>
    <w:rsid w:val="006772D2"/>
    <w:rsid w:val="006774FE"/>
    <w:rsid w:val="006862D6"/>
    <w:rsid w:val="00690A7F"/>
    <w:rsid w:val="00696C80"/>
    <w:rsid w:val="006A4641"/>
    <w:rsid w:val="006C2752"/>
    <w:rsid w:val="006C52ED"/>
    <w:rsid w:val="00703EF2"/>
    <w:rsid w:val="00720B05"/>
    <w:rsid w:val="007423F7"/>
    <w:rsid w:val="00742AE2"/>
    <w:rsid w:val="007517BE"/>
    <w:rsid w:val="00754955"/>
    <w:rsid w:val="00766929"/>
    <w:rsid w:val="00770200"/>
    <w:rsid w:val="00773CF6"/>
    <w:rsid w:val="007A0E1C"/>
    <w:rsid w:val="007B64D7"/>
    <w:rsid w:val="007D11F3"/>
    <w:rsid w:val="007E60FB"/>
    <w:rsid w:val="007F4260"/>
    <w:rsid w:val="00816C8F"/>
    <w:rsid w:val="00831E91"/>
    <w:rsid w:val="0083451B"/>
    <w:rsid w:val="00872DC6"/>
    <w:rsid w:val="008760F6"/>
    <w:rsid w:val="00890D98"/>
    <w:rsid w:val="00893C72"/>
    <w:rsid w:val="008A310B"/>
    <w:rsid w:val="008B270E"/>
    <w:rsid w:val="008B3E14"/>
    <w:rsid w:val="008B507F"/>
    <w:rsid w:val="008E56C2"/>
    <w:rsid w:val="008E5F32"/>
    <w:rsid w:val="008E6BB0"/>
    <w:rsid w:val="00902BB7"/>
    <w:rsid w:val="0090730F"/>
    <w:rsid w:val="00921843"/>
    <w:rsid w:val="009260AF"/>
    <w:rsid w:val="00926780"/>
    <w:rsid w:val="009433F3"/>
    <w:rsid w:val="00944D31"/>
    <w:rsid w:val="00951FBD"/>
    <w:rsid w:val="009624D4"/>
    <w:rsid w:val="00963255"/>
    <w:rsid w:val="009679E8"/>
    <w:rsid w:val="009850CB"/>
    <w:rsid w:val="00985ACB"/>
    <w:rsid w:val="00986A1D"/>
    <w:rsid w:val="009943D2"/>
    <w:rsid w:val="009A3F14"/>
    <w:rsid w:val="009B4E2A"/>
    <w:rsid w:val="009C0BF2"/>
    <w:rsid w:val="009C2343"/>
    <w:rsid w:val="009D4D5C"/>
    <w:rsid w:val="009D577B"/>
    <w:rsid w:val="009E1CCA"/>
    <w:rsid w:val="009E2281"/>
    <w:rsid w:val="009F1E8D"/>
    <w:rsid w:val="009F3801"/>
    <w:rsid w:val="00A04C95"/>
    <w:rsid w:val="00A074B5"/>
    <w:rsid w:val="00A11355"/>
    <w:rsid w:val="00A214BD"/>
    <w:rsid w:val="00A345C1"/>
    <w:rsid w:val="00A3668C"/>
    <w:rsid w:val="00A43A76"/>
    <w:rsid w:val="00A47AD9"/>
    <w:rsid w:val="00A55BC5"/>
    <w:rsid w:val="00A639D7"/>
    <w:rsid w:val="00A657D7"/>
    <w:rsid w:val="00A6743D"/>
    <w:rsid w:val="00A70381"/>
    <w:rsid w:val="00A70859"/>
    <w:rsid w:val="00A77986"/>
    <w:rsid w:val="00A8112E"/>
    <w:rsid w:val="00AA0284"/>
    <w:rsid w:val="00AD460C"/>
    <w:rsid w:val="00AE5147"/>
    <w:rsid w:val="00AE5F41"/>
    <w:rsid w:val="00AE6933"/>
    <w:rsid w:val="00AF3297"/>
    <w:rsid w:val="00B04ED8"/>
    <w:rsid w:val="00B22D3C"/>
    <w:rsid w:val="00B428F8"/>
    <w:rsid w:val="00B456FF"/>
    <w:rsid w:val="00B52281"/>
    <w:rsid w:val="00B63E0E"/>
    <w:rsid w:val="00B727AC"/>
    <w:rsid w:val="00B91491"/>
    <w:rsid w:val="00B94318"/>
    <w:rsid w:val="00BA1320"/>
    <w:rsid w:val="00BA1449"/>
    <w:rsid w:val="00BA3940"/>
    <w:rsid w:val="00BD0663"/>
    <w:rsid w:val="00BD6610"/>
    <w:rsid w:val="00BF1EC3"/>
    <w:rsid w:val="00BF282B"/>
    <w:rsid w:val="00BF7027"/>
    <w:rsid w:val="00C0363D"/>
    <w:rsid w:val="00C10045"/>
    <w:rsid w:val="00C2243C"/>
    <w:rsid w:val="00C641A1"/>
    <w:rsid w:val="00C8176D"/>
    <w:rsid w:val="00C8569A"/>
    <w:rsid w:val="00C85A21"/>
    <w:rsid w:val="00C959A9"/>
    <w:rsid w:val="00CB043D"/>
    <w:rsid w:val="00CD65E8"/>
    <w:rsid w:val="00D21D96"/>
    <w:rsid w:val="00D22966"/>
    <w:rsid w:val="00D27A88"/>
    <w:rsid w:val="00D56A7C"/>
    <w:rsid w:val="00D64357"/>
    <w:rsid w:val="00D731D2"/>
    <w:rsid w:val="00D86520"/>
    <w:rsid w:val="00DA76F6"/>
    <w:rsid w:val="00DB34E0"/>
    <w:rsid w:val="00DC59E4"/>
    <w:rsid w:val="00DC6E79"/>
    <w:rsid w:val="00DD3D57"/>
    <w:rsid w:val="00DE11CE"/>
    <w:rsid w:val="00DE3461"/>
    <w:rsid w:val="00DE6B2A"/>
    <w:rsid w:val="00DF152D"/>
    <w:rsid w:val="00DF2EF8"/>
    <w:rsid w:val="00E11731"/>
    <w:rsid w:val="00E15E5A"/>
    <w:rsid w:val="00E343BD"/>
    <w:rsid w:val="00E35941"/>
    <w:rsid w:val="00E4775F"/>
    <w:rsid w:val="00E6057C"/>
    <w:rsid w:val="00E634FF"/>
    <w:rsid w:val="00E77B05"/>
    <w:rsid w:val="00E80E64"/>
    <w:rsid w:val="00E82FC7"/>
    <w:rsid w:val="00E83740"/>
    <w:rsid w:val="00E925AE"/>
    <w:rsid w:val="00EC60F6"/>
    <w:rsid w:val="00EF388D"/>
    <w:rsid w:val="00EF595C"/>
    <w:rsid w:val="00EF6578"/>
    <w:rsid w:val="00F002C5"/>
    <w:rsid w:val="00F100AE"/>
    <w:rsid w:val="00F3442F"/>
    <w:rsid w:val="00F4117C"/>
    <w:rsid w:val="00F41D47"/>
    <w:rsid w:val="00F57801"/>
    <w:rsid w:val="00F66187"/>
    <w:rsid w:val="00F87093"/>
    <w:rsid w:val="00F9306E"/>
    <w:rsid w:val="00FA0781"/>
    <w:rsid w:val="00FA2EE2"/>
    <w:rsid w:val="00FB3384"/>
    <w:rsid w:val="00FC0852"/>
    <w:rsid w:val="00FC2780"/>
    <w:rsid w:val="00FC2E36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EF1C7A6B-E575-439A-A258-AC51596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63255"/>
    <w:pPr>
      <w:ind w:left="720"/>
      <w:contextualSpacing/>
    </w:pPr>
  </w:style>
  <w:style w:type="paragraph" w:styleId="Revision">
    <w:name w:val="Revision"/>
    <w:hidden/>
    <w:uiPriority w:val="99"/>
    <w:semiHidden/>
    <w:rsid w:val="00E634FF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bec8d-3a7a-4d46-8811-c7c6d3ba06ae" xsi:nil="true"/>
    <lcf76f155ced4ddcb4097134ff3c332f xmlns="e0c4ee4b-63ea-49f8-bb04-a131474d12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747F0-3622-4B29-A900-DA45A3FA7CF5}">
  <ds:schemaRefs>
    <ds:schemaRef ds:uri="http://schemas.microsoft.com/office/2006/metadata/properties"/>
    <ds:schemaRef ds:uri="http://schemas.microsoft.com/office/infopath/2007/PartnerControls"/>
    <ds:schemaRef ds:uri="a2abec8d-3a7a-4d46-8811-c7c6d3ba06ae"/>
    <ds:schemaRef ds:uri="e0c4ee4b-63ea-49f8-bb04-a131474d1297"/>
  </ds:schemaRefs>
</ds:datastoreItem>
</file>

<file path=customXml/itemProps2.xml><?xml version="1.0" encoding="utf-8"?>
<ds:datastoreItem xmlns:ds="http://schemas.openxmlformats.org/officeDocument/2006/customXml" ds:itemID="{D5FAFEB2-D5CF-4499-B7AC-D9CEF6BA0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04310-6E22-40C4-9FBF-A470CC82E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användandet av ogräsmedel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användandet av ogräsmedel</dc:title>
  <dc:subject/>
  <dc:creator>anton.sandblom@stadsmiljo.goteborg.se</dc:creator>
  <dc:description/>
  <cp:lastModifiedBy>Cecilia Tisell</cp:lastModifiedBy>
  <cp:revision>4</cp:revision>
  <cp:lastPrinted>2017-01-05T15:29:00Z</cp:lastPrinted>
  <dcterms:created xsi:type="dcterms:W3CDTF">2024-03-15T12:24:00Z</dcterms:created>
  <dcterms:modified xsi:type="dcterms:W3CDTF">2024-03-27T16:11:00Z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MediaServiceImageTags">
    <vt:lpwstr/>
  </property>
</Properties>
</file>